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672FE" w14:textId="77777777" w:rsidR="00555E21" w:rsidRDefault="00555E21" w:rsidP="00555E21">
      <w:pPr>
        <w:rPr>
          <w:rFonts w:cs="Arial"/>
          <w:b/>
          <w:sz w:val="36"/>
          <w:szCs w:val="32"/>
        </w:rPr>
      </w:pPr>
    </w:p>
    <w:p w14:paraId="32A8521D" w14:textId="77777777" w:rsidR="00555E21" w:rsidRPr="00534824" w:rsidRDefault="00555E21" w:rsidP="00555E21">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731A910C" wp14:editId="5D3B664E">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7E62DE06" w14:textId="77777777" w:rsidR="00555E21" w:rsidRPr="00534824" w:rsidRDefault="00555E21" w:rsidP="00555E21">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31EC94ED" w14:textId="77777777" w:rsidR="00555E21" w:rsidRPr="00534824" w:rsidRDefault="00555E21" w:rsidP="00555E21">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5C1A0E9B" w14:textId="77777777" w:rsidR="00555E21" w:rsidRPr="00534824" w:rsidRDefault="00555E21" w:rsidP="00555E21">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6EAF2739" w14:textId="77777777" w:rsidR="00555E21" w:rsidRPr="00534824" w:rsidRDefault="00555E21" w:rsidP="00555E21">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5080AA85" w14:textId="77777777" w:rsidR="00555E21" w:rsidRPr="00534824" w:rsidRDefault="00555E21" w:rsidP="00555E21">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0DA5F4AD" w14:textId="77777777" w:rsidR="00555E21" w:rsidRDefault="00555E21" w:rsidP="00555E21">
      <w:pPr>
        <w:rPr>
          <w:rFonts w:cs="Arial"/>
          <w:b/>
          <w:sz w:val="36"/>
          <w:szCs w:val="32"/>
        </w:rPr>
      </w:pPr>
    </w:p>
    <w:p w14:paraId="0126696A" w14:textId="3BE6505E" w:rsidR="00555E21" w:rsidRPr="00A554B7" w:rsidRDefault="00555E21" w:rsidP="00555E21">
      <w:pPr>
        <w:rPr>
          <w:rFonts w:cs="Arial"/>
          <w:b/>
          <w:sz w:val="36"/>
          <w:szCs w:val="32"/>
        </w:rPr>
      </w:pPr>
      <w:r>
        <w:rPr>
          <w:rFonts w:cs="Arial"/>
          <w:b/>
          <w:sz w:val="36"/>
          <w:szCs w:val="32"/>
        </w:rPr>
        <w:t>TOBACCO and PROHIBITED SUBSTANCES</w:t>
      </w:r>
      <w:r w:rsidRPr="00587F32">
        <w:rPr>
          <w:rFonts w:cs="Arial"/>
          <w:b/>
          <w:sz w:val="36"/>
          <w:szCs w:val="32"/>
        </w:rPr>
        <w:t xml:space="preserve"> POLICY</w:t>
      </w:r>
      <w:r>
        <w:rPr>
          <w:rFonts w:cs="Arial"/>
          <w:b/>
          <w:sz w:val="36"/>
          <w:szCs w:val="32"/>
        </w:rPr>
        <w:t xml:space="preserve">   </w:t>
      </w:r>
      <w:r>
        <w:rPr>
          <w:rFonts w:cs="Arial"/>
          <w:b/>
          <w:color w:val="FF0000"/>
          <w:sz w:val="36"/>
          <w:szCs w:val="32"/>
        </w:rPr>
        <w:t xml:space="preserve"> </w:t>
      </w:r>
      <w:r w:rsidRPr="000E3C43">
        <w:rPr>
          <w:rFonts w:cs="Arial"/>
          <w:b/>
          <w:color w:val="000000" w:themeColor="text1"/>
          <w:sz w:val="36"/>
          <w:szCs w:val="32"/>
        </w:rPr>
        <w:t>2020</w:t>
      </w:r>
    </w:p>
    <w:p w14:paraId="39A6B271" w14:textId="77777777" w:rsidR="00555E21" w:rsidRPr="00A554B7" w:rsidRDefault="00555E21" w:rsidP="00555E21">
      <w:pPr>
        <w:tabs>
          <w:tab w:val="left" w:pos="2127"/>
        </w:tabs>
        <w:ind w:left="2127" w:hanging="2127"/>
        <w:rPr>
          <w:rFonts w:cs="Arial"/>
          <w:szCs w:val="20"/>
        </w:rPr>
      </w:pPr>
    </w:p>
    <w:p w14:paraId="4B1875F6" w14:textId="77777777" w:rsidR="00555E21" w:rsidRPr="00A554B7" w:rsidRDefault="00555E21" w:rsidP="00555E21">
      <w:pPr>
        <w:tabs>
          <w:tab w:val="left" w:pos="2127"/>
        </w:tabs>
        <w:ind w:left="2127" w:hanging="2127"/>
        <w:rPr>
          <w:rFonts w:cs="Arial"/>
          <w:szCs w:val="20"/>
        </w:rPr>
      </w:pPr>
    </w:p>
    <w:p w14:paraId="04724CAA" w14:textId="77777777" w:rsidR="00555E21" w:rsidRPr="00A554B7" w:rsidRDefault="00555E21" w:rsidP="00555E21">
      <w:pPr>
        <w:pStyle w:val="Heading4"/>
        <w:spacing w:before="0" w:after="0"/>
        <w:ind w:left="0" w:firstLine="0"/>
        <w:rPr>
          <w:rFonts w:asciiTheme="minorHAnsi" w:hAnsiTheme="minorHAnsi"/>
          <w:sz w:val="28"/>
        </w:rPr>
      </w:pPr>
      <w:r w:rsidRPr="00A554B7">
        <w:rPr>
          <w:rFonts w:asciiTheme="minorHAnsi" w:hAnsiTheme="minorHAnsi"/>
          <w:sz w:val="28"/>
        </w:rPr>
        <w:t>Purpose</w:t>
      </w:r>
    </w:p>
    <w:p w14:paraId="2FF3D79F" w14:textId="77777777" w:rsidR="00555E21" w:rsidRDefault="00555E21" w:rsidP="00555E21"/>
    <w:p w14:paraId="38A3BBA4" w14:textId="77777777" w:rsidR="00555E21" w:rsidRDefault="00555E21" w:rsidP="00555E21">
      <w:r>
        <w:t xml:space="preserve">To have a policy which identifies substances that are prohibited from being used on the centre’s premises at any time.  </w:t>
      </w:r>
    </w:p>
    <w:p w14:paraId="7C6243FD" w14:textId="77777777" w:rsidR="00555E21" w:rsidRDefault="00555E21" w:rsidP="00555E21"/>
    <w:p w14:paraId="60D730B4" w14:textId="77777777" w:rsidR="00555E21" w:rsidRDefault="00555E21" w:rsidP="00555E21">
      <w:r>
        <w:t>Passive smoking (the inhalation of environmental tobacco smoke) increases risks to health (Cancer Council Australia, 2004. Wattle Grove Kids Club Service</w:t>
      </w:r>
      <w:r w:rsidRPr="00026FB0">
        <w:rPr>
          <w:color w:val="FF0000"/>
        </w:rPr>
        <w:t xml:space="preserve"> </w:t>
      </w:r>
      <w:r>
        <w:t>has a duty of care under work health and safety legislation to provide a safe and healthy environment for all persons who utilise the service for child care requirements or employment.  This service does not permit the smoking of any substance in any areas it utilises for child care requirements or employment of persons and has adopted a Tobacco and Prohibited Substances Policy to protect all persons from the effects of environmental tobacco smoke.</w:t>
      </w:r>
    </w:p>
    <w:p w14:paraId="3A744388" w14:textId="77777777" w:rsidR="00555E21" w:rsidRPr="00A554B7" w:rsidRDefault="00555E21" w:rsidP="00555E21">
      <w:pPr>
        <w:rPr>
          <w:color w:val="000000"/>
          <w:sz w:val="24"/>
        </w:rPr>
      </w:pPr>
    </w:p>
    <w:p w14:paraId="194F7F97" w14:textId="77777777" w:rsidR="00555E21" w:rsidRDefault="00555E21" w:rsidP="00555E21">
      <w:pPr>
        <w:tabs>
          <w:tab w:val="left" w:pos="2127"/>
        </w:tabs>
        <w:ind w:left="2127" w:hanging="2127"/>
        <w:rPr>
          <w:rFonts w:cs="Arial"/>
          <w:b/>
          <w:sz w:val="28"/>
          <w:szCs w:val="20"/>
        </w:rPr>
      </w:pPr>
      <w:r w:rsidRPr="00651B14">
        <w:rPr>
          <w:rFonts w:cs="Arial"/>
          <w:b/>
          <w:sz w:val="28"/>
          <w:szCs w:val="20"/>
        </w:rPr>
        <w:t>Strategies</w:t>
      </w:r>
    </w:p>
    <w:p w14:paraId="19DE8CC3" w14:textId="77777777" w:rsidR="00555E21" w:rsidRDefault="00555E21" w:rsidP="00555E21">
      <w:pPr>
        <w:tabs>
          <w:tab w:val="left" w:pos="2127"/>
        </w:tabs>
        <w:ind w:left="2127" w:hanging="2127"/>
        <w:rPr>
          <w:rFonts w:cs="Arial"/>
          <w:b/>
          <w:sz w:val="28"/>
          <w:szCs w:val="20"/>
        </w:rPr>
      </w:pPr>
    </w:p>
    <w:p w14:paraId="09CAE491" w14:textId="77777777" w:rsidR="00555E21" w:rsidRDefault="00555E21" w:rsidP="00555E21">
      <w:r>
        <w:t xml:space="preserve">Children who are exposed to second hand smoke are at risk of many health problems including ear infections, coughs and colds, respiratory problems and tooth decay to name a few. </w:t>
      </w:r>
    </w:p>
    <w:p w14:paraId="47AF4C57" w14:textId="77777777" w:rsidR="00555E21" w:rsidRDefault="00555E21" w:rsidP="00555E21"/>
    <w:p w14:paraId="2B109241" w14:textId="77777777" w:rsidR="00555E21" w:rsidRDefault="00555E21" w:rsidP="00555E21">
      <w:pPr>
        <w:pStyle w:val="ListParagraph"/>
        <w:numPr>
          <w:ilvl w:val="0"/>
          <w:numId w:val="2"/>
        </w:numPr>
      </w:pPr>
      <w:r>
        <w:t>No smoking signs will be displayed at the entrance to the centre.</w:t>
      </w:r>
    </w:p>
    <w:p w14:paraId="35C789A0" w14:textId="77777777" w:rsidR="00555E21" w:rsidRDefault="00555E21" w:rsidP="00555E21">
      <w:pPr>
        <w:pStyle w:val="ListParagraph"/>
        <w:numPr>
          <w:ilvl w:val="0"/>
          <w:numId w:val="2"/>
        </w:numPr>
      </w:pPr>
      <w:r>
        <w:t>Smoke detectors may have been fitted into the playrooms, kitchen and foyer areas.</w:t>
      </w:r>
    </w:p>
    <w:p w14:paraId="42F799F0" w14:textId="77777777" w:rsidR="00555E21" w:rsidRDefault="00555E21" w:rsidP="00555E21">
      <w:pPr>
        <w:pStyle w:val="ListParagraph"/>
        <w:numPr>
          <w:ilvl w:val="0"/>
          <w:numId w:val="2"/>
        </w:numPr>
      </w:pPr>
      <w:r>
        <w:t>Smoking is not be permitted in any open space 10 metres from the outdoor area or fence line.</w:t>
      </w:r>
    </w:p>
    <w:p w14:paraId="2FD96BB9" w14:textId="77777777" w:rsidR="00555E21" w:rsidRDefault="00555E21" w:rsidP="00555E21">
      <w:pPr>
        <w:pStyle w:val="ListParagraph"/>
        <w:numPr>
          <w:ilvl w:val="0"/>
          <w:numId w:val="2"/>
        </w:numPr>
      </w:pPr>
      <w:r>
        <w:t>Staff will not smoke in front of, or in the sight of, children in their care.</w:t>
      </w:r>
    </w:p>
    <w:p w14:paraId="43066263" w14:textId="77777777" w:rsidR="00555E21" w:rsidRDefault="00555E21" w:rsidP="00555E21">
      <w:pPr>
        <w:pStyle w:val="ListParagraph"/>
        <w:numPr>
          <w:ilvl w:val="0"/>
          <w:numId w:val="2"/>
        </w:numPr>
      </w:pPr>
      <w:r>
        <w:t>No persons will be allowed to promote cigarette smoking in the workplace, or advertise the fact they smoke to other staff, children or families.</w:t>
      </w:r>
    </w:p>
    <w:p w14:paraId="66F9430F" w14:textId="77777777" w:rsidR="00555E21" w:rsidRDefault="00555E21" w:rsidP="00555E21">
      <w:pPr>
        <w:pStyle w:val="ListParagraph"/>
        <w:numPr>
          <w:ilvl w:val="0"/>
          <w:numId w:val="2"/>
        </w:numPr>
      </w:pPr>
      <w:r>
        <w:t>Students, volunteers and visitors to the service will not be permitted to smoke on the premises and will adhere to the Tobacco and Prohibited Substances Policy.</w:t>
      </w:r>
    </w:p>
    <w:p w14:paraId="038E8127" w14:textId="77777777" w:rsidR="00555E21" w:rsidRDefault="00555E21" w:rsidP="00555E21">
      <w:pPr>
        <w:pStyle w:val="ListParagraph"/>
        <w:numPr>
          <w:ilvl w:val="0"/>
          <w:numId w:val="2"/>
        </w:numPr>
      </w:pPr>
      <w:r>
        <w:t xml:space="preserve">The responsibility for enforcing this policy rests with managers and staff. All are obliged under the workplace health and safety legislation to protect the health of their fellow staff, and visitors, while at the service. </w:t>
      </w:r>
    </w:p>
    <w:p w14:paraId="0CFD5B76" w14:textId="77777777" w:rsidR="00555E21" w:rsidRDefault="00555E21" w:rsidP="00555E21">
      <w:pPr>
        <w:pStyle w:val="ListParagraph"/>
        <w:numPr>
          <w:ilvl w:val="0"/>
          <w:numId w:val="2"/>
        </w:numPr>
      </w:pPr>
      <w:r>
        <w:t>It is illegal to smoke in enclosed spaces including child care services. Smoking in the service will be reported to authorities and this includes adult toilets.</w:t>
      </w:r>
    </w:p>
    <w:p w14:paraId="6EAA6A5F" w14:textId="77777777" w:rsidR="00555E21" w:rsidRDefault="00555E21" w:rsidP="00555E21">
      <w:pPr>
        <w:pStyle w:val="ListParagraph"/>
        <w:numPr>
          <w:ilvl w:val="0"/>
          <w:numId w:val="2"/>
        </w:numPr>
      </w:pPr>
      <w:r>
        <w:t>In NSW, it is an offence to possess, use, produce or supply a drug which has been declared prohibited.</w:t>
      </w:r>
    </w:p>
    <w:p w14:paraId="1ABFBAAC" w14:textId="77777777" w:rsidR="00555E21" w:rsidRDefault="00555E21" w:rsidP="00555E21">
      <w:pPr>
        <w:tabs>
          <w:tab w:val="left" w:pos="2127"/>
        </w:tabs>
        <w:rPr>
          <w:rFonts w:cs="Arial"/>
          <w:szCs w:val="20"/>
        </w:rPr>
      </w:pPr>
    </w:p>
    <w:p w14:paraId="48690B36" w14:textId="77777777" w:rsidR="00555E21" w:rsidRDefault="00555E21" w:rsidP="00555E21">
      <w:pPr>
        <w:pStyle w:val="Heading4"/>
        <w:spacing w:before="0" w:after="0"/>
        <w:rPr>
          <w:rFonts w:asciiTheme="minorHAnsi" w:hAnsiTheme="minorHAnsi"/>
          <w:sz w:val="28"/>
        </w:rPr>
      </w:pPr>
      <w:r>
        <w:rPr>
          <w:rFonts w:asciiTheme="minorHAnsi" w:hAnsiTheme="minorHAnsi"/>
          <w:sz w:val="28"/>
        </w:rPr>
        <w:t xml:space="preserve">Responsibilities of the </w:t>
      </w:r>
      <w:r w:rsidRPr="00A554B7">
        <w:rPr>
          <w:rFonts w:asciiTheme="minorHAnsi" w:hAnsiTheme="minorHAnsi"/>
          <w:sz w:val="28"/>
        </w:rPr>
        <w:t>Approved Provider</w:t>
      </w:r>
    </w:p>
    <w:p w14:paraId="00DFEF56" w14:textId="77777777" w:rsidR="00555E21" w:rsidRDefault="00555E21" w:rsidP="00555E21"/>
    <w:p w14:paraId="29ED6C1E" w14:textId="77777777" w:rsidR="00555E21" w:rsidRDefault="00555E21" w:rsidP="00555E21">
      <w:pPr>
        <w:pStyle w:val="ListParagraph"/>
        <w:numPr>
          <w:ilvl w:val="0"/>
          <w:numId w:val="6"/>
        </w:numPr>
      </w:pPr>
      <w:r>
        <w:lastRenderedPageBreak/>
        <w:t xml:space="preserve">Provide a sign for the service that states no smoking is allowed on premises. </w:t>
      </w:r>
    </w:p>
    <w:p w14:paraId="14598562" w14:textId="77777777" w:rsidR="00555E21" w:rsidRDefault="00555E21" w:rsidP="00555E21">
      <w:pPr>
        <w:pStyle w:val="ListParagraph"/>
        <w:numPr>
          <w:ilvl w:val="0"/>
          <w:numId w:val="6"/>
        </w:numPr>
      </w:pPr>
      <w:r>
        <w:t>Ensure that Nominated Supervisor and all other staff are aware of and abide by this policy at all times.</w:t>
      </w:r>
    </w:p>
    <w:p w14:paraId="495EAE58" w14:textId="77777777" w:rsidR="00555E21" w:rsidRPr="00C937A3" w:rsidRDefault="00555E21" w:rsidP="00555E21"/>
    <w:p w14:paraId="50534ED5" w14:textId="77777777" w:rsidR="00555E21" w:rsidRPr="00A554B7" w:rsidRDefault="00555E21" w:rsidP="00555E21">
      <w:pPr>
        <w:pStyle w:val="Heading4"/>
        <w:spacing w:before="0" w:after="0"/>
        <w:rPr>
          <w:rFonts w:asciiTheme="minorHAnsi" w:hAnsiTheme="minorHAnsi"/>
          <w:sz w:val="28"/>
        </w:rPr>
      </w:pPr>
      <w:r>
        <w:rPr>
          <w:rFonts w:asciiTheme="minorHAnsi" w:hAnsiTheme="minorHAnsi"/>
          <w:sz w:val="28"/>
        </w:rPr>
        <w:t xml:space="preserve">Responsibilities of the </w:t>
      </w:r>
      <w:r w:rsidRPr="00A554B7">
        <w:rPr>
          <w:rFonts w:asciiTheme="minorHAnsi" w:hAnsiTheme="minorHAnsi"/>
          <w:sz w:val="28"/>
        </w:rPr>
        <w:t>Nominated Supervisor</w:t>
      </w:r>
    </w:p>
    <w:p w14:paraId="27040FE8" w14:textId="77777777" w:rsidR="00555E21" w:rsidRDefault="00555E21" w:rsidP="00555E21">
      <w:pPr>
        <w:rPr>
          <w:color w:val="000000"/>
          <w:sz w:val="24"/>
        </w:rPr>
      </w:pPr>
    </w:p>
    <w:p w14:paraId="61E2F88B" w14:textId="77777777" w:rsidR="00555E21" w:rsidRDefault="00555E21" w:rsidP="00555E21">
      <w:pPr>
        <w:pStyle w:val="ListParagraph"/>
        <w:numPr>
          <w:ilvl w:val="0"/>
          <w:numId w:val="5"/>
        </w:numPr>
        <w:rPr>
          <w:color w:val="000000"/>
        </w:rPr>
      </w:pPr>
      <w:r w:rsidRPr="00483746">
        <w:rPr>
          <w:color w:val="000000"/>
        </w:rPr>
        <w:t xml:space="preserve">Ensure that all staff are aware of and abide by this policy at all times. </w:t>
      </w:r>
    </w:p>
    <w:p w14:paraId="5B65CE5A" w14:textId="77777777" w:rsidR="00555E21" w:rsidRPr="00483746" w:rsidRDefault="00555E21" w:rsidP="00555E21">
      <w:pPr>
        <w:pStyle w:val="ListParagraph"/>
        <w:numPr>
          <w:ilvl w:val="0"/>
          <w:numId w:val="5"/>
        </w:numPr>
        <w:rPr>
          <w:color w:val="000000"/>
        </w:rPr>
      </w:pPr>
      <w:r>
        <w:rPr>
          <w:color w:val="000000"/>
        </w:rPr>
        <w:t>Issue appropriate action against staff member who contravenes this policy.</w:t>
      </w:r>
    </w:p>
    <w:p w14:paraId="6BAA3513" w14:textId="77777777" w:rsidR="00555E21" w:rsidRPr="00483746" w:rsidRDefault="00555E21" w:rsidP="00555E21">
      <w:pPr>
        <w:pStyle w:val="ListParagraph"/>
        <w:numPr>
          <w:ilvl w:val="0"/>
          <w:numId w:val="5"/>
        </w:numPr>
        <w:rPr>
          <w:color w:val="000000"/>
        </w:rPr>
      </w:pPr>
      <w:r w:rsidRPr="00483746">
        <w:rPr>
          <w:color w:val="000000"/>
        </w:rPr>
        <w:t xml:space="preserve">If a staff member is caught smoking, doing any illicit drugs or drinking alcohol on premises or within 10 metres of the service – a written warning is to be issued or possible instant dismissal. </w:t>
      </w:r>
    </w:p>
    <w:p w14:paraId="7BC306B2" w14:textId="77777777" w:rsidR="00555E21" w:rsidRDefault="00555E21" w:rsidP="00555E21">
      <w:pPr>
        <w:rPr>
          <w:color w:val="000000"/>
          <w:sz w:val="24"/>
        </w:rPr>
      </w:pPr>
    </w:p>
    <w:p w14:paraId="03E4D0FB" w14:textId="77777777" w:rsidR="00555E21" w:rsidRPr="00A554B7" w:rsidRDefault="00555E21" w:rsidP="00555E21">
      <w:pPr>
        <w:pStyle w:val="Heading4"/>
        <w:spacing w:before="0" w:after="0"/>
        <w:ind w:left="0" w:firstLine="0"/>
        <w:rPr>
          <w:rFonts w:asciiTheme="minorHAnsi" w:hAnsiTheme="minorHAnsi"/>
          <w:sz w:val="28"/>
        </w:rPr>
      </w:pPr>
      <w:r>
        <w:rPr>
          <w:rFonts w:asciiTheme="minorHAnsi" w:hAnsiTheme="minorHAnsi"/>
          <w:sz w:val="28"/>
        </w:rPr>
        <w:t>Responsibilities of the</w:t>
      </w:r>
      <w:r w:rsidRPr="00A554B7">
        <w:rPr>
          <w:rFonts w:asciiTheme="minorHAnsi" w:hAnsiTheme="minorHAnsi"/>
          <w:sz w:val="28"/>
        </w:rPr>
        <w:t xml:space="preserve"> Educators</w:t>
      </w:r>
    </w:p>
    <w:p w14:paraId="7C31D976" w14:textId="77777777" w:rsidR="00555E21" w:rsidRDefault="00555E21" w:rsidP="00555E21">
      <w:pPr>
        <w:tabs>
          <w:tab w:val="left" w:pos="2127"/>
        </w:tabs>
        <w:ind w:left="2127" w:hanging="2127"/>
      </w:pPr>
    </w:p>
    <w:p w14:paraId="1F70917C" w14:textId="77777777" w:rsidR="00555E21" w:rsidRPr="000E3C43" w:rsidRDefault="00555E21" w:rsidP="00555E21">
      <w:pPr>
        <w:pStyle w:val="ListParagraph"/>
        <w:numPr>
          <w:ilvl w:val="0"/>
          <w:numId w:val="4"/>
        </w:numPr>
        <w:rPr>
          <w:sz w:val="20"/>
          <w:szCs w:val="20"/>
        </w:rPr>
      </w:pPr>
      <w:r w:rsidRPr="000E3C43">
        <w:rPr>
          <w:sz w:val="20"/>
          <w:szCs w:val="20"/>
        </w:rPr>
        <w:t>Staff who smoke before and after a shift must ensure that they take off their uniform before smoking. If a staff member is caught smoking while on site or in their uniform, there may be consequences involved.</w:t>
      </w:r>
    </w:p>
    <w:p w14:paraId="3C8A0136" w14:textId="77777777" w:rsidR="00555E21" w:rsidRPr="000E3C43" w:rsidRDefault="00555E21" w:rsidP="00555E21">
      <w:pPr>
        <w:pStyle w:val="ListParagraph"/>
        <w:numPr>
          <w:ilvl w:val="0"/>
          <w:numId w:val="4"/>
        </w:numPr>
        <w:rPr>
          <w:sz w:val="20"/>
          <w:szCs w:val="20"/>
        </w:rPr>
      </w:pPr>
      <w:r w:rsidRPr="000E3C43">
        <w:rPr>
          <w:sz w:val="20"/>
          <w:szCs w:val="20"/>
        </w:rPr>
        <w:t xml:space="preserve">Educators are not allowed to come in smelling of smoke. If you have smoked before your shift, personal hygiene must be adhered to including hands being washed, clothing free from smoke and mouth washed out before handling children. </w:t>
      </w:r>
    </w:p>
    <w:p w14:paraId="155D532E" w14:textId="77777777" w:rsidR="00555E21" w:rsidRPr="000E3C43" w:rsidRDefault="00555E21" w:rsidP="00555E21">
      <w:pPr>
        <w:pStyle w:val="ListParagraph"/>
        <w:numPr>
          <w:ilvl w:val="0"/>
          <w:numId w:val="4"/>
        </w:numPr>
        <w:rPr>
          <w:sz w:val="20"/>
          <w:szCs w:val="20"/>
        </w:rPr>
      </w:pPr>
      <w:r w:rsidRPr="000E3C43">
        <w:rPr>
          <w:sz w:val="20"/>
          <w:szCs w:val="20"/>
        </w:rPr>
        <w:t>Staff are informed through the handbook that smoking, drinking alcohol and taking illicit drugs during operating hours is NEVER allowed.  These substances are not to be brought into the centre.</w:t>
      </w:r>
    </w:p>
    <w:p w14:paraId="384CC807" w14:textId="77777777" w:rsidR="00555E21" w:rsidRPr="00A554B7" w:rsidRDefault="00555E21" w:rsidP="00555E21">
      <w:pPr>
        <w:tabs>
          <w:tab w:val="left" w:pos="2127"/>
        </w:tabs>
        <w:rPr>
          <w:rFonts w:cs="Arial"/>
          <w:szCs w:val="20"/>
        </w:rPr>
      </w:pPr>
    </w:p>
    <w:p w14:paraId="74A296D9" w14:textId="77777777" w:rsidR="00555E21" w:rsidRDefault="00555E21" w:rsidP="00555E21">
      <w:pPr>
        <w:pStyle w:val="Heading4"/>
        <w:spacing w:before="0" w:after="0"/>
        <w:rPr>
          <w:rFonts w:asciiTheme="minorHAnsi" w:hAnsiTheme="minorHAnsi"/>
          <w:sz w:val="28"/>
        </w:rPr>
      </w:pPr>
      <w:r>
        <w:rPr>
          <w:rFonts w:asciiTheme="minorHAnsi" w:hAnsiTheme="minorHAnsi"/>
          <w:sz w:val="28"/>
        </w:rPr>
        <w:t>Responsibilities of the Families</w:t>
      </w:r>
    </w:p>
    <w:p w14:paraId="1C81E8A9" w14:textId="77777777" w:rsidR="00555E21" w:rsidRDefault="00555E21" w:rsidP="00555E21"/>
    <w:p w14:paraId="3EC76F8A" w14:textId="77777777" w:rsidR="00555E21" w:rsidRPr="000E3C43" w:rsidRDefault="00555E21" w:rsidP="00555E21">
      <w:pPr>
        <w:pStyle w:val="ListParagraph"/>
        <w:numPr>
          <w:ilvl w:val="0"/>
          <w:numId w:val="3"/>
        </w:numPr>
        <w:rPr>
          <w:sz w:val="20"/>
          <w:szCs w:val="20"/>
        </w:rPr>
      </w:pPr>
      <w:r w:rsidRPr="000E3C43">
        <w:rPr>
          <w:sz w:val="20"/>
          <w:szCs w:val="20"/>
        </w:rPr>
        <w:t xml:space="preserve">Report to the service management should you see a staff member smoking near the child care service or in their uniform. </w:t>
      </w:r>
    </w:p>
    <w:p w14:paraId="040EDA4D" w14:textId="77777777" w:rsidR="00555E21" w:rsidRPr="000E3C43" w:rsidRDefault="00555E21" w:rsidP="00555E21">
      <w:pPr>
        <w:pStyle w:val="ListParagraph"/>
        <w:numPr>
          <w:ilvl w:val="0"/>
          <w:numId w:val="3"/>
        </w:numPr>
        <w:rPr>
          <w:sz w:val="20"/>
          <w:szCs w:val="20"/>
        </w:rPr>
      </w:pPr>
      <w:r w:rsidRPr="000E3C43">
        <w:rPr>
          <w:sz w:val="20"/>
          <w:szCs w:val="20"/>
        </w:rPr>
        <w:t xml:space="preserve">Families are not allowed to smoke on premises or near any children in the service. </w:t>
      </w:r>
    </w:p>
    <w:p w14:paraId="48D9754B" w14:textId="77777777" w:rsidR="00555E21" w:rsidRPr="000E3C43" w:rsidRDefault="00555E21" w:rsidP="00555E21">
      <w:pPr>
        <w:pStyle w:val="ListParagraph"/>
        <w:numPr>
          <w:ilvl w:val="0"/>
          <w:numId w:val="3"/>
        </w:numPr>
        <w:rPr>
          <w:sz w:val="20"/>
          <w:szCs w:val="20"/>
        </w:rPr>
      </w:pPr>
      <w:r w:rsidRPr="000E3C43">
        <w:rPr>
          <w:sz w:val="20"/>
          <w:szCs w:val="20"/>
        </w:rPr>
        <w:t>Families are not allowed to smoke cigarettes or E-cigarettes in their cars with children under 16 years of age as it is illegal. If a parent is caught smoking in the car with their child inside, your family may be reported to authorities. This applies to passengers of the vehicle as well.</w:t>
      </w:r>
    </w:p>
    <w:p w14:paraId="5975965C" w14:textId="77777777" w:rsidR="00555E21" w:rsidRPr="000E3C43" w:rsidRDefault="00555E21" w:rsidP="00555E21">
      <w:pPr>
        <w:pStyle w:val="ListParagraph"/>
        <w:numPr>
          <w:ilvl w:val="0"/>
          <w:numId w:val="3"/>
        </w:numPr>
        <w:rPr>
          <w:sz w:val="20"/>
          <w:szCs w:val="20"/>
        </w:rPr>
      </w:pPr>
      <w:r w:rsidRPr="000E3C43">
        <w:rPr>
          <w:sz w:val="20"/>
          <w:szCs w:val="20"/>
        </w:rPr>
        <w:t>Parents, family members or relatives of children enrolled at the service will not be permitted to smoke on the premises and will adhere to the Tobacco and Prohibited Substances Policy.</w:t>
      </w:r>
    </w:p>
    <w:p w14:paraId="0F1638A4" w14:textId="77777777" w:rsidR="00555E21" w:rsidRPr="00C937A3" w:rsidRDefault="00555E21" w:rsidP="00555E21">
      <w:pPr>
        <w:pStyle w:val="ListParagraph"/>
        <w:ind w:left="644"/>
      </w:pPr>
    </w:p>
    <w:p w14:paraId="6287B0A9" w14:textId="77777777" w:rsidR="00555E21" w:rsidRPr="00C937A3" w:rsidRDefault="00555E21" w:rsidP="00555E21"/>
    <w:p w14:paraId="0A912F5F" w14:textId="77777777" w:rsidR="00555E21" w:rsidRPr="00A554B7" w:rsidRDefault="00555E21" w:rsidP="00555E21">
      <w:pPr>
        <w:pStyle w:val="Heading4"/>
        <w:spacing w:before="0" w:after="0"/>
        <w:rPr>
          <w:rFonts w:asciiTheme="minorHAnsi" w:hAnsiTheme="minorHAnsi"/>
          <w:sz w:val="28"/>
        </w:rPr>
      </w:pPr>
      <w:r w:rsidRPr="00A554B7">
        <w:rPr>
          <w:rFonts w:asciiTheme="minorHAnsi" w:hAnsiTheme="minorHAnsi"/>
          <w:sz w:val="28"/>
        </w:rPr>
        <w:t xml:space="preserve">Definitions, Terms &amp; Abbreviations </w:t>
      </w:r>
    </w:p>
    <w:p w14:paraId="7ED2F92B" w14:textId="77777777" w:rsidR="00555E21" w:rsidRPr="00A554B7" w:rsidRDefault="00555E21" w:rsidP="00555E21">
      <w:pPr>
        <w:tabs>
          <w:tab w:val="left" w:pos="2127"/>
        </w:tabs>
        <w:ind w:left="2127" w:hanging="2127"/>
        <w:rPr>
          <w:rFonts w:cs="Arial"/>
          <w:szCs w:val="20"/>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49"/>
      </w:tblGrid>
      <w:tr w:rsidR="00555E21" w:rsidRPr="00A554B7" w14:paraId="3ACC6074" w14:textId="77777777" w:rsidTr="00504C41">
        <w:tc>
          <w:tcPr>
            <w:tcW w:w="2268" w:type="dxa"/>
          </w:tcPr>
          <w:p w14:paraId="7EADE685" w14:textId="77777777" w:rsidR="00555E21" w:rsidRPr="00A554B7" w:rsidRDefault="00555E21" w:rsidP="00504C41">
            <w:pPr>
              <w:tabs>
                <w:tab w:val="left" w:pos="2127"/>
              </w:tabs>
              <w:rPr>
                <w:rFonts w:cs="Arial"/>
                <w:b/>
                <w:color w:val="FF0000"/>
                <w:szCs w:val="20"/>
              </w:rPr>
            </w:pPr>
            <w:r w:rsidRPr="00A554B7">
              <w:rPr>
                <w:rFonts w:cs="Arial"/>
                <w:b/>
                <w:color w:val="FF0000"/>
                <w:szCs w:val="20"/>
              </w:rPr>
              <w:t>Term</w:t>
            </w:r>
          </w:p>
          <w:p w14:paraId="70717EEA" w14:textId="77777777" w:rsidR="00555E21" w:rsidRPr="00A554B7" w:rsidRDefault="00555E21" w:rsidP="00504C41">
            <w:pPr>
              <w:rPr>
                <w:rFonts w:cs="Arial"/>
                <w:szCs w:val="20"/>
              </w:rPr>
            </w:pPr>
            <w:r>
              <w:rPr>
                <w:rFonts w:cs="Arial"/>
                <w:szCs w:val="20"/>
              </w:rPr>
              <w:t>Illicit</w:t>
            </w:r>
          </w:p>
          <w:p w14:paraId="4D1EC7ED" w14:textId="77777777" w:rsidR="00555E21" w:rsidRPr="00A554B7" w:rsidRDefault="00555E21" w:rsidP="00504C41">
            <w:pPr>
              <w:rPr>
                <w:rFonts w:cs="Arial"/>
                <w:szCs w:val="20"/>
              </w:rPr>
            </w:pPr>
          </w:p>
        </w:tc>
        <w:tc>
          <w:tcPr>
            <w:tcW w:w="7649" w:type="dxa"/>
          </w:tcPr>
          <w:p w14:paraId="30E89EBF" w14:textId="77777777" w:rsidR="00555E21" w:rsidRDefault="00555E21" w:rsidP="00504C41">
            <w:pPr>
              <w:ind w:left="324"/>
              <w:rPr>
                <w:rFonts w:cs="Arial"/>
                <w:b/>
                <w:color w:val="FF0000"/>
                <w:szCs w:val="20"/>
              </w:rPr>
            </w:pPr>
            <w:r>
              <w:rPr>
                <w:rFonts w:cs="Arial"/>
                <w:b/>
                <w:color w:val="FF0000"/>
                <w:szCs w:val="20"/>
              </w:rPr>
              <w:t>Meaning</w:t>
            </w:r>
          </w:p>
          <w:p w14:paraId="671EE272" w14:textId="77777777" w:rsidR="00555E21" w:rsidRPr="00EA0BA1" w:rsidRDefault="00555E21" w:rsidP="00504C41">
            <w:pPr>
              <w:rPr>
                <w:rFonts w:cs="Arial"/>
                <w:szCs w:val="20"/>
              </w:rPr>
            </w:pPr>
            <w:r w:rsidRPr="00EA0BA1">
              <w:rPr>
                <w:rFonts w:cs="Arial"/>
                <w:szCs w:val="20"/>
              </w:rPr>
              <w:t>Forbidden by law, rules, or custom</w:t>
            </w:r>
          </w:p>
          <w:p w14:paraId="26E2202F" w14:textId="77777777" w:rsidR="00555E21" w:rsidRDefault="00555E21" w:rsidP="00504C41">
            <w:pPr>
              <w:pStyle w:val="ListParagraph"/>
              <w:ind w:left="324"/>
              <w:rPr>
                <w:rFonts w:cs="Arial"/>
                <w:color w:val="FF0000"/>
                <w:szCs w:val="20"/>
              </w:rPr>
            </w:pPr>
          </w:p>
          <w:p w14:paraId="4BF96CB6" w14:textId="77777777" w:rsidR="00555E21" w:rsidRPr="00B52FD4" w:rsidRDefault="00555E21" w:rsidP="00504C41"/>
        </w:tc>
      </w:tr>
      <w:tr w:rsidR="00555E21" w:rsidRPr="00A554B7" w14:paraId="30D43B8D" w14:textId="77777777" w:rsidTr="00504C41">
        <w:tc>
          <w:tcPr>
            <w:tcW w:w="2268" w:type="dxa"/>
          </w:tcPr>
          <w:p w14:paraId="4D9D0FEA" w14:textId="77777777" w:rsidR="00555E21" w:rsidRPr="00A554B7" w:rsidRDefault="00555E21" w:rsidP="00504C41">
            <w:pPr>
              <w:tabs>
                <w:tab w:val="left" w:pos="2127"/>
              </w:tabs>
              <w:rPr>
                <w:rFonts w:cs="Arial"/>
                <w:color w:val="FF0000"/>
                <w:szCs w:val="20"/>
              </w:rPr>
            </w:pPr>
          </w:p>
        </w:tc>
        <w:tc>
          <w:tcPr>
            <w:tcW w:w="7649" w:type="dxa"/>
          </w:tcPr>
          <w:p w14:paraId="1D7872AE" w14:textId="77777777" w:rsidR="00555E21" w:rsidRPr="00A554B7" w:rsidRDefault="00555E21" w:rsidP="00504C41">
            <w:pPr>
              <w:tabs>
                <w:tab w:val="left" w:pos="2127"/>
              </w:tabs>
              <w:ind w:left="596"/>
              <w:rPr>
                <w:rFonts w:cs="Arial"/>
                <w:color w:val="FF0000"/>
                <w:szCs w:val="20"/>
              </w:rPr>
            </w:pPr>
          </w:p>
        </w:tc>
      </w:tr>
    </w:tbl>
    <w:p w14:paraId="58FD6EDB" w14:textId="77777777" w:rsidR="00555E21" w:rsidRPr="005B6E7F" w:rsidRDefault="00555E21" w:rsidP="00555E21"/>
    <w:p w14:paraId="0D92B136" w14:textId="77777777" w:rsidR="00555E21" w:rsidRPr="00A554B7" w:rsidRDefault="00555E21" w:rsidP="00555E21">
      <w:pPr>
        <w:pStyle w:val="Heading4"/>
        <w:spacing w:before="0" w:after="0"/>
        <w:ind w:left="0" w:firstLine="0"/>
        <w:rPr>
          <w:rFonts w:asciiTheme="minorHAnsi" w:hAnsiTheme="minorHAnsi"/>
          <w:sz w:val="28"/>
        </w:rPr>
      </w:pPr>
      <w:r w:rsidRPr="00A554B7">
        <w:rPr>
          <w:rFonts w:asciiTheme="minorHAnsi" w:hAnsiTheme="minorHAnsi"/>
          <w:sz w:val="28"/>
        </w:rPr>
        <w:t>Related Statutory Obligations &amp; Considerations</w:t>
      </w:r>
    </w:p>
    <w:p w14:paraId="4FA51C70" w14:textId="77777777" w:rsidR="00555E21" w:rsidRDefault="00555E21" w:rsidP="00555E21">
      <w:pPr>
        <w:rPr>
          <w:color w:val="000000"/>
          <w:sz w:val="24"/>
        </w:rPr>
      </w:pPr>
      <w:r w:rsidRPr="00A554B7">
        <w:rPr>
          <w:color w:val="000000"/>
          <w:sz w:val="24"/>
        </w:rPr>
        <w:br/>
      </w:r>
      <w:r w:rsidRPr="00A554B7">
        <w:rPr>
          <w:b/>
          <w:color w:val="000000"/>
          <w:sz w:val="24"/>
        </w:rPr>
        <w:t>Australian Children’s Education and Care Quality Authority (ACECQA)</w:t>
      </w:r>
      <w:r w:rsidRPr="00A554B7">
        <w:rPr>
          <w:color w:val="000000"/>
          <w:sz w:val="24"/>
        </w:rPr>
        <w:t xml:space="preserve"> </w:t>
      </w:r>
      <w:r w:rsidRPr="009B6D5D">
        <w:rPr>
          <w:color w:val="000000"/>
          <w:sz w:val="24"/>
        </w:rPr>
        <w:t>http://www.acecqa.gov.au/</w:t>
      </w:r>
    </w:p>
    <w:p w14:paraId="0C40DAE5" w14:textId="77777777" w:rsidR="00555E21" w:rsidRDefault="00555E21" w:rsidP="00555E21">
      <w:pPr>
        <w:rPr>
          <w:color w:val="000000"/>
          <w:sz w:val="24"/>
        </w:rPr>
      </w:pPr>
      <w:r w:rsidRPr="00CE0242">
        <w:rPr>
          <w:b/>
          <w:color w:val="000000"/>
          <w:sz w:val="24"/>
        </w:rPr>
        <w:t>Children (Education and Care Ser</w:t>
      </w:r>
      <w:r>
        <w:rPr>
          <w:b/>
          <w:color w:val="000000"/>
          <w:sz w:val="24"/>
        </w:rPr>
        <w:t xml:space="preserve">vices) National Law (NSW) 104a </w:t>
      </w:r>
      <w:r w:rsidRPr="000E02D0">
        <w:rPr>
          <w:color w:val="000000"/>
          <w:sz w:val="24"/>
        </w:rPr>
        <w:t>https://www.legislation.nsw.gov.au/#/view/act/2010/104a/full</w:t>
      </w:r>
    </w:p>
    <w:p w14:paraId="2F1A2D61" w14:textId="77777777" w:rsidR="00555E21" w:rsidRDefault="00555E21" w:rsidP="00555E21">
      <w:pPr>
        <w:rPr>
          <w:color w:val="000000"/>
          <w:sz w:val="24"/>
        </w:rPr>
      </w:pPr>
      <w:r w:rsidRPr="00A554B7">
        <w:rPr>
          <w:b/>
          <w:color w:val="000000"/>
          <w:sz w:val="24"/>
        </w:rPr>
        <w:t>Department of Education</w:t>
      </w:r>
    </w:p>
    <w:p w14:paraId="1A4B9FD5" w14:textId="77777777" w:rsidR="00555E21" w:rsidRDefault="00555E21" w:rsidP="00555E21">
      <w:pPr>
        <w:rPr>
          <w:color w:val="000000"/>
          <w:sz w:val="24"/>
        </w:rPr>
      </w:pPr>
      <w:r w:rsidRPr="00A554B7">
        <w:rPr>
          <w:color w:val="000000"/>
          <w:sz w:val="24"/>
        </w:rPr>
        <w:lastRenderedPageBreak/>
        <w:t xml:space="preserve">http://www.dec.nsw.gov.au/what-we-offer/regulation-and-accreditation/early-childhood-education-care </w:t>
      </w:r>
    </w:p>
    <w:p w14:paraId="623F6DB1" w14:textId="77777777" w:rsidR="00555E21" w:rsidRPr="00117CB8" w:rsidRDefault="00555E21" w:rsidP="00555E21">
      <w:pPr>
        <w:rPr>
          <w:b/>
          <w:color w:val="000000"/>
          <w:sz w:val="24"/>
        </w:rPr>
      </w:pPr>
      <w:r w:rsidRPr="00117CB8">
        <w:rPr>
          <w:b/>
          <w:color w:val="000000"/>
          <w:sz w:val="24"/>
        </w:rPr>
        <w:t>Drug Misuse and Trafficking Act</w:t>
      </w:r>
    </w:p>
    <w:p w14:paraId="36600BCC" w14:textId="77777777" w:rsidR="00555E21" w:rsidRDefault="00555E21" w:rsidP="00555E21">
      <w:pPr>
        <w:rPr>
          <w:color w:val="000000"/>
          <w:sz w:val="24"/>
        </w:rPr>
      </w:pPr>
      <w:r w:rsidRPr="00A554B7">
        <w:rPr>
          <w:b/>
          <w:color w:val="000000"/>
          <w:sz w:val="24"/>
        </w:rPr>
        <w:t>Early Years Learning Framework (EYLF)</w:t>
      </w:r>
      <w:r>
        <w:rPr>
          <w:color w:val="000000"/>
          <w:sz w:val="24"/>
        </w:rPr>
        <w:t xml:space="preserve"> </w:t>
      </w:r>
    </w:p>
    <w:p w14:paraId="1DB16B8D" w14:textId="77777777" w:rsidR="00555E21" w:rsidRPr="00272F04" w:rsidRDefault="00555E21" w:rsidP="00555E21">
      <w:pPr>
        <w:rPr>
          <w:color w:val="000000"/>
          <w:sz w:val="24"/>
        </w:rPr>
      </w:pPr>
      <w:r w:rsidRPr="00A554B7">
        <w:rPr>
          <w:color w:val="000000"/>
          <w:sz w:val="24"/>
        </w:rPr>
        <w:t xml:space="preserve">http://files.acecqa.gov.au/files/National-Quality-Framework-Resources-Kit/belonging_being_and_becoming_the_early_years_learning_framework_for_australia.pdf </w:t>
      </w:r>
      <w:r w:rsidRPr="00A554B7">
        <w:rPr>
          <w:b/>
          <w:color w:val="000000"/>
          <w:sz w:val="24"/>
        </w:rPr>
        <w:t>Education and Care</w:t>
      </w:r>
      <w:r>
        <w:rPr>
          <w:b/>
          <w:color w:val="000000"/>
          <w:sz w:val="24"/>
        </w:rPr>
        <w:t xml:space="preserve"> Services National Regulations</w:t>
      </w:r>
    </w:p>
    <w:p w14:paraId="3A77BCEA" w14:textId="77777777" w:rsidR="00555E21" w:rsidRDefault="00555E21" w:rsidP="00555E21">
      <w:pPr>
        <w:rPr>
          <w:color w:val="000000"/>
          <w:sz w:val="24"/>
        </w:rPr>
      </w:pPr>
      <w:r w:rsidRPr="000E02D0">
        <w:rPr>
          <w:color w:val="000000"/>
          <w:sz w:val="24"/>
        </w:rPr>
        <w:t>https://www.legislation.nsw.gov.au/#/view/regulation/2011/653</w:t>
      </w:r>
    </w:p>
    <w:p w14:paraId="1E973BCB" w14:textId="77777777" w:rsidR="00555E21" w:rsidRDefault="00555E21" w:rsidP="00555E21">
      <w:pPr>
        <w:rPr>
          <w:color w:val="000000"/>
          <w:sz w:val="24"/>
        </w:rPr>
      </w:pPr>
      <w:r w:rsidRPr="00A554B7">
        <w:rPr>
          <w:b/>
          <w:color w:val="000000"/>
          <w:sz w:val="24"/>
        </w:rPr>
        <w:t>National Quality Framework (NQF)</w:t>
      </w:r>
      <w:r>
        <w:rPr>
          <w:color w:val="000000"/>
          <w:sz w:val="24"/>
        </w:rPr>
        <w:t xml:space="preserve"> </w:t>
      </w:r>
    </w:p>
    <w:p w14:paraId="2ADDABF8" w14:textId="77777777" w:rsidR="00555E21" w:rsidRDefault="00555E21" w:rsidP="00555E21">
      <w:pPr>
        <w:rPr>
          <w:color w:val="000000"/>
          <w:sz w:val="24"/>
        </w:rPr>
      </w:pPr>
      <w:r w:rsidRPr="005A7673">
        <w:rPr>
          <w:color w:val="000000"/>
          <w:sz w:val="24"/>
        </w:rPr>
        <w:t>http://acecqa.gov.au/national-quality-framework/</w:t>
      </w:r>
    </w:p>
    <w:p w14:paraId="151B1F0A" w14:textId="77777777" w:rsidR="00555E21" w:rsidRDefault="00555E21" w:rsidP="00555E21">
      <w:pPr>
        <w:rPr>
          <w:color w:val="000000"/>
          <w:sz w:val="24"/>
        </w:rPr>
      </w:pPr>
      <w:r w:rsidRPr="005A7673">
        <w:rPr>
          <w:b/>
          <w:color w:val="000000"/>
          <w:sz w:val="24"/>
        </w:rPr>
        <w:t>NSW Health</w:t>
      </w:r>
      <w:r>
        <w:rPr>
          <w:color w:val="000000"/>
          <w:sz w:val="24"/>
        </w:rPr>
        <w:t xml:space="preserve"> </w:t>
      </w:r>
    </w:p>
    <w:p w14:paraId="4C828338" w14:textId="77777777" w:rsidR="00555E21" w:rsidRDefault="00555E21" w:rsidP="00555E21">
      <w:pPr>
        <w:rPr>
          <w:color w:val="000000"/>
          <w:sz w:val="24"/>
        </w:rPr>
      </w:pPr>
      <w:r w:rsidRPr="005A7673">
        <w:rPr>
          <w:color w:val="000000"/>
          <w:sz w:val="24"/>
        </w:rPr>
        <w:t>http://www.health.nsw.gov.au/tobacco/Pages/smoke-free-laws.aspx</w:t>
      </w:r>
      <w:r>
        <w:rPr>
          <w:color w:val="000000"/>
          <w:sz w:val="24"/>
        </w:rPr>
        <w:t xml:space="preserve"> </w:t>
      </w:r>
    </w:p>
    <w:p w14:paraId="45F0EB36" w14:textId="77777777" w:rsidR="00555E21" w:rsidRDefault="00555E21" w:rsidP="00555E21">
      <w:pPr>
        <w:rPr>
          <w:color w:val="000000"/>
          <w:sz w:val="24"/>
        </w:rPr>
      </w:pPr>
      <w:r w:rsidRPr="0071441F">
        <w:rPr>
          <w:b/>
          <w:color w:val="000000"/>
          <w:sz w:val="24"/>
        </w:rPr>
        <w:t>NSW Health Online Reporting Form</w:t>
      </w:r>
      <w:r>
        <w:rPr>
          <w:color w:val="000000"/>
          <w:sz w:val="24"/>
        </w:rPr>
        <w:t xml:space="preserve"> </w:t>
      </w:r>
      <w:r w:rsidRPr="0071441F">
        <w:rPr>
          <w:color w:val="000000"/>
          <w:sz w:val="24"/>
        </w:rPr>
        <w:t>https://nswhealth.formstack.com/forms/online_form_2__copy</w:t>
      </w:r>
      <w:r>
        <w:rPr>
          <w:color w:val="000000"/>
          <w:sz w:val="24"/>
        </w:rPr>
        <w:t xml:space="preserve"> </w:t>
      </w:r>
    </w:p>
    <w:p w14:paraId="467C57B9" w14:textId="77777777" w:rsidR="00555E21" w:rsidRDefault="00555E21" w:rsidP="00555E21">
      <w:pPr>
        <w:rPr>
          <w:b/>
          <w:color w:val="000000"/>
          <w:sz w:val="24"/>
        </w:rPr>
      </w:pPr>
      <w:r w:rsidRPr="00813482">
        <w:rPr>
          <w:b/>
          <w:color w:val="000000"/>
          <w:sz w:val="24"/>
        </w:rPr>
        <w:t>United Nations Conventi</w:t>
      </w:r>
      <w:r>
        <w:rPr>
          <w:b/>
          <w:color w:val="000000"/>
          <w:sz w:val="24"/>
        </w:rPr>
        <w:t xml:space="preserve">on on the rights of the child </w:t>
      </w:r>
    </w:p>
    <w:p w14:paraId="2B3E3DA2" w14:textId="77777777" w:rsidR="00555E21" w:rsidRPr="00813482" w:rsidRDefault="00555E21" w:rsidP="00555E21">
      <w:pPr>
        <w:rPr>
          <w:color w:val="000000"/>
          <w:sz w:val="24"/>
        </w:rPr>
      </w:pPr>
      <w:r w:rsidRPr="00813482">
        <w:rPr>
          <w:color w:val="000000"/>
          <w:sz w:val="24"/>
        </w:rPr>
        <w:t>https://www.unicef.org.au/</w:t>
      </w:r>
    </w:p>
    <w:p w14:paraId="0DCF3923" w14:textId="77777777" w:rsidR="00555E21" w:rsidRPr="00A554B7" w:rsidRDefault="00555E21" w:rsidP="00555E21">
      <w:pPr>
        <w:rPr>
          <w:color w:val="000000"/>
          <w:sz w:val="24"/>
        </w:rPr>
      </w:pPr>
    </w:p>
    <w:p w14:paraId="61CF998D" w14:textId="77777777" w:rsidR="00555E21" w:rsidRPr="00A554B7" w:rsidRDefault="00555E21" w:rsidP="00555E21">
      <w:pPr>
        <w:pStyle w:val="Heading4"/>
        <w:spacing w:before="0" w:after="0"/>
        <w:rPr>
          <w:rFonts w:asciiTheme="minorHAnsi" w:hAnsiTheme="minorHAnsi"/>
          <w:sz w:val="28"/>
        </w:rPr>
      </w:pPr>
      <w:r w:rsidRPr="00A554B7">
        <w:rPr>
          <w:rFonts w:asciiTheme="minorHAnsi" w:hAnsiTheme="minorHAnsi"/>
          <w:sz w:val="28"/>
        </w:rPr>
        <w:t>Related Telephone Numbers</w:t>
      </w:r>
    </w:p>
    <w:p w14:paraId="7442AC02" w14:textId="77777777" w:rsidR="00555E21" w:rsidRPr="00A554B7" w:rsidRDefault="00555E21" w:rsidP="00555E21">
      <w:pPr>
        <w:rPr>
          <w:color w:val="000000"/>
          <w:sz w:val="24"/>
        </w:rPr>
      </w:pPr>
    </w:p>
    <w:p w14:paraId="3CCDB73F" w14:textId="77777777" w:rsidR="00555E21" w:rsidRDefault="00555E21" w:rsidP="00555E21">
      <w:pPr>
        <w:pStyle w:val="ListParagraph"/>
        <w:numPr>
          <w:ilvl w:val="0"/>
          <w:numId w:val="1"/>
        </w:numPr>
        <w:rPr>
          <w:color w:val="000000"/>
          <w:sz w:val="24"/>
        </w:rPr>
      </w:pPr>
      <w:r w:rsidRPr="00F8509D">
        <w:rPr>
          <w:color w:val="000000"/>
          <w:sz w:val="24"/>
        </w:rPr>
        <w:t>Early C</w:t>
      </w:r>
      <w:r>
        <w:rPr>
          <w:color w:val="000000"/>
          <w:sz w:val="24"/>
        </w:rPr>
        <w:t xml:space="preserve">hildhood Directorate </w:t>
      </w:r>
      <w:r w:rsidRPr="00F8509D">
        <w:rPr>
          <w:color w:val="000000"/>
          <w:sz w:val="24"/>
        </w:rPr>
        <w:t>1800 619 113</w:t>
      </w:r>
    </w:p>
    <w:p w14:paraId="3AFBC2BB" w14:textId="77777777" w:rsidR="00555E21" w:rsidRDefault="00555E21" w:rsidP="00555E21">
      <w:pPr>
        <w:pStyle w:val="ListParagraph"/>
        <w:numPr>
          <w:ilvl w:val="0"/>
          <w:numId w:val="1"/>
        </w:numPr>
        <w:rPr>
          <w:color w:val="000000"/>
          <w:sz w:val="24"/>
        </w:rPr>
      </w:pPr>
      <w:r>
        <w:rPr>
          <w:color w:val="000000"/>
          <w:sz w:val="24"/>
        </w:rPr>
        <w:t>ACECQA 1300 422 327</w:t>
      </w:r>
    </w:p>
    <w:p w14:paraId="676A476A" w14:textId="77777777" w:rsidR="00555E21" w:rsidRPr="00483746" w:rsidRDefault="00555E21" w:rsidP="00555E21">
      <w:pPr>
        <w:pStyle w:val="ListParagraph"/>
        <w:numPr>
          <w:ilvl w:val="0"/>
          <w:numId w:val="1"/>
        </w:numPr>
        <w:rPr>
          <w:color w:val="000000"/>
          <w:sz w:val="24"/>
        </w:rPr>
      </w:pPr>
      <w:r>
        <w:rPr>
          <w:color w:val="000000"/>
          <w:sz w:val="24"/>
        </w:rPr>
        <w:t>Police Department 000</w:t>
      </w:r>
    </w:p>
    <w:p w14:paraId="73429249" w14:textId="77777777" w:rsidR="00555E21" w:rsidRPr="00F8509D" w:rsidRDefault="00555E21" w:rsidP="00555E21">
      <w:pPr>
        <w:pStyle w:val="ListParagraph"/>
        <w:rPr>
          <w:color w:val="000000"/>
          <w:sz w:val="24"/>
        </w:rPr>
      </w:pPr>
    </w:p>
    <w:p w14:paraId="5BF2E01F" w14:textId="77777777" w:rsidR="00555E21" w:rsidRPr="00A554B7" w:rsidRDefault="00555E21" w:rsidP="00555E21">
      <w:pPr>
        <w:pStyle w:val="Heading4"/>
        <w:spacing w:before="0" w:after="0"/>
        <w:ind w:left="0" w:firstLine="0"/>
        <w:rPr>
          <w:rFonts w:asciiTheme="minorHAnsi" w:hAnsiTheme="minorHAnsi"/>
          <w:sz w:val="28"/>
        </w:rPr>
      </w:pPr>
      <w:r w:rsidRPr="00A554B7">
        <w:rPr>
          <w:rFonts w:asciiTheme="minorHAnsi" w:hAnsiTheme="minorHAnsi"/>
          <w:sz w:val="28"/>
        </w:rPr>
        <w:t>Amendment History</w:t>
      </w:r>
    </w:p>
    <w:p w14:paraId="0F8CEACB" w14:textId="77777777" w:rsidR="00555E21" w:rsidRPr="00A554B7" w:rsidRDefault="00555E21" w:rsidP="00555E21">
      <w:pPr>
        <w:tabs>
          <w:tab w:val="left" w:pos="2127"/>
        </w:tabs>
        <w:ind w:left="2127" w:hanging="2127"/>
        <w:rPr>
          <w:rFonts w:cs="Arial"/>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555E21" w:rsidRPr="000E3C43" w14:paraId="6A5D267C" w14:textId="77777777" w:rsidTr="00504C41">
        <w:tc>
          <w:tcPr>
            <w:tcW w:w="1423" w:type="dxa"/>
            <w:shd w:val="clear" w:color="auto" w:fill="000000" w:themeFill="text1"/>
          </w:tcPr>
          <w:p w14:paraId="2C1825F2" w14:textId="77777777" w:rsidR="00555E21" w:rsidRPr="000E3C43" w:rsidRDefault="00555E21" w:rsidP="00504C41">
            <w:pPr>
              <w:tabs>
                <w:tab w:val="left" w:pos="2127"/>
              </w:tabs>
              <w:rPr>
                <w:rFonts w:cs="Arial"/>
                <w:b/>
                <w:color w:val="000000" w:themeColor="text1"/>
                <w:szCs w:val="20"/>
              </w:rPr>
            </w:pPr>
            <w:r w:rsidRPr="000E3C43">
              <w:rPr>
                <w:rFonts w:cs="Arial"/>
                <w:b/>
                <w:color w:val="000000" w:themeColor="text1"/>
                <w:szCs w:val="20"/>
              </w:rPr>
              <w:t>Version</w:t>
            </w:r>
          </w:p>
        </w:tc>
        <w:tc>
          <w:tcPr>
            <w:tcW w:w="3577" w:type="dxa"/>
            <w:shd w:val="clear" w:color="auto" w:fill="000000" w:themeFill="text1"/>
          </w:tcPr>
          <w:p w14:paraId="3574713B" w14:textId="77777777" w:rsidR="00555E21" w:rsidRPr="000E3C43" w:rsidRDefault="00555E21" w:rsidP="00504C41">
            <w:pPr>
              <w:tabs>
                <w:tab w:val="left" w:pos="2127"/>
              </w:tabs>
              <w:rPr>
                <w:rFonts w:cs="Arial"/>
                <w:b/>
                <w:color w:val="000000" w:themeColor="text1"/>
                <w:szCs w:val="20"/>
              </w:rPr>
            </w:pPr>
            <w:r w:rsidRPr="000E3C43">
              <w:rPr>
                <w:rFonts w:cs="Arial"/>
                <w:b/>
                <w:color w:val="000000" w:themeColor="text1"/>
                <w:szCs w:val="20"/>
              </w:rPr>
              <w:t>Amendment</w:t>
            </w:r>
          </w:p>
        </w:tc>
        <w:tc>
          <w:tcPr>
            <w:tcW w:w="4639" w:type="dxa"/>
            <w:shd w:val="clear" w:color="auto" w:fill="000000" w:themeFill="text1"/>
          </w:tcPr>
          <w:p w14:paraId="4F28C6BD" w14:textId="77777777" w:rsidR="00555E21" w:rsidRPr="000E3C43" w:rsidRDefault="00555E21" w:rsidP="00504C41">
            <w:pPr>
              <w:tabs>
                <w:tab w:val="left" w:pos="2127"/>
              </w:tabs>
              <w:rPr>
                <w:rFonts w:cs="Arial"/>
                <w:b/>
                <w:color w:val="000000" w:themeColor="text1"/>
                <w:szCs w:val="20"/>
              </w:rPr>
            </w:pPr>
            <w:r w:rsidRPr="000E3C43">
              <w:rPr>
                <w:rFonts w:cs="Arial"/>
                <w:b/>
                <w:color w:val="000000" w:themeColor="text1"/>
                <w:szCs w:val="20"/>
              </w:rPr>
              <w:t>Short Description</w:t>
            </w:r>
          </w:p>
        </w:tc>
      </w:tr>
      <w:tr w:rsidR="00555E21" w:rsidRPr="00453ECF" w14:paraId="1C5E9A86" w14:textId="77777777" w:rsidTr="00504C41">
        <w:tc>
          <w:tcPr>
            <w:tcW w:w="1423" w:type="dxa"/>
          </w:tcPr>
          <w:p w14:paraId="129A5D7C" w14:textId="6929C319"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 xml:space="preserve">Previous </w:t>
            </w:r>
            <w:r>
              <w:rPr>
                <w:rFonts w:cs="Arial"/>
                <w:color w:val="000000" w:themeColor="text1"/>
                <w:szCs w:val="20"/>
              </w:rPr>
              <w:t>LDC</w:t>
            </w:r>
            <w:r w:rsidRPr="00453ECF">
              <w:rPr>
                <w:rFonts w:cs="Arial"/>
                <w:color w:val="000000" w:themeColor="text1"/>
                <w:szCs w:val="20"/>
              </w:rPr>
              <w:t xml:space="preserve"> Policy </w:t>
            </w:r>
          </w:p>
        </w:tc>
        <w:tc>
          <w:tcPr>
            <w:tcW w:w="3577" w:type="dxa"/>
          </w:tcPr>
          <w:p w14:paraId="470109E1"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Last amended May 2018</w:t>
            </w:r>
          </w:p>
          <w:p w14:paraId="0DE4E08C" w14:textId="77777777" w:rsidR="00555E21" w:rsidRPr="00453ECF" w:rsidRDefault="00555E21" w:rsidP="00504C41">
            <w:pPr>
              <w:tabs>
                <w:tab w:val="left" w:pos="2127"/>
              </w:tabs>
              <w:rPr>
                <w:rFonts w:cs="Arial"/>
                <w:color w:val="000000" w:themeColor="text1"/>
                <w:szCs w:val="20"/>
              </w:rPr>
            </w:pPr>
          </w:p>
          <w:p w14:paraId="20870C3D"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Adaptation of ACA policies</w:t>
            </w:r>
          </w:p>
          <w:p w14:paraId="77ED4E88"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 xml:space="preserve">September 2020 </w:t>
            </w:r>
          </w:p>
        </w:tc>
        <w:tc>
          <w:tcPr>
            <w:tcW w:w="4639" w:type="dxa"/>
          </w:tcPr>
          <w:p w14:paraId="65EAB775"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Grammar and adding NQS and Regs update</w:t>
            </w:r>
          </w:p>
          <w:p w14:paraId="788CEDAD" w14:textId="77777777" w:rsidR="00555E21" w:rsidRPr="00453ECF" w:rsidRDefault="00555E21" w:rsidP="00504C41">
            <w:pPr>
              <w:tabs>
                <w:tab w:val="left" w:pos="2127"/>
              </w:tabs>
              <w:rPr>
                <w:rFonts w:cs="Arial"/>
                <w:color w:val="000000" w:themeColor="text1"/>
                <w:szCs w:val="20"/>
              </w:rPr>
            </w:pPr>
          </w:p>
          <w:p w14:paraId="5186EE72"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 xml:space="preserve">NQS and Regulations update </w:t>
            </w:r>
          </w:p>
          <w:p w14:paraId="40767B22" w14:textId="77777777" w:rsidR="00555E21" w:rsidRPr="00453ECF" w:rsidRDefault="00555E21" w:rsidP="00504C41">
            <w:pPr>
              <w:tabs>
                <w:tab w:val="left" w:pos="2127"/>
              </w:tabs>
              <w:rPr>
                <w:rFonts w:cs="Arial"/>
                <w:color w:val="000000" w:themeColor="text1"/>
                <w:szCs w:val="20"/>
              </w:rPr>
            </w:pPr>
          </w:p>
        </w:tc>
      </w:tr>
    </w:tbl>
    <w:p w14:paraId="745AD1FB" w14:textId="77777777" w:rsidR="00555E21" w:rsidRPr="00453ECF" w:rsidRDefault="00555E21" w:rsidP="00555E21">
      <w:pPr>
        <w:rPr>
          <w:rFonts w:cs="Arial"/>
          <w:color w:val="000000" w:themeColor="text1"/>
          <w:szCs w:val="20"/>
        </w:rPr>
      </w:pPr>
    </w:p>
    <w:p w14:paraId="5B367913" w14:textId="77777777" w:rsidR="00555E21" w:rsidRPr="00453ECF" w:rsidRDefault="00555E21" w:rsidP="00555E21">
      <w:pPr>
        <w:rPr>
          <w:rFonts w:cs="Arial"/>
          <w:color w:val="000000" w:themeColor="text1"/>
          <w:szCs w:val="20"/>
        </w:rPr>
      </w:pPr>
      <w:r w:rsidRPr="00453ECF">
        <w:rPr>
          <w:rFonts w:cs="Arial"/>
          <w:color w:val="000000" w:themeColor="text1"/>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453ECF">
        <w:rPr>
          <w:rFonts w:cs="Arial"/>
          <w:i/>
          <w:color w:val="000000" w:themeColor="text1"/>
          <w:szCs w:val="20"/>
        </w:rPr>
        <w:t>Education and Care Services National Regulation</w:t>
      </w:r>
      <w:r w:rsidRPr="00453ECF">
        <w:rPr>
          <w:rFonts w:cs="Arial"/>
          <w:color w:val="000000" w:themeColor="text1"/>
          <w:szCs w:val="20"/>
        </w:rPr>
        <w:t>, families of children enrolled will be notified at least 14 days and their input considered prior to any amendment of policies and procedures that have any impact on their children or family.</w:t>
      </w:r>
    </w:p>
    <w:tbl>
      <w:tblPr>
        <w:tblStyle w:val="TableGrid"/>
        <w:tblpPr w:leftFromText="180" w:rightFromText="180" w:vertAnchor="text" w:horzAnchor="margin" w:tblpY="232"/>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555E21" w:rsidRPr="00453ECF" w14:paraId="7417E8B1" w14:textId="77777777" w:rsidTr="00504C41">
        <w:trPr>
          <w:trHeight w:val="454"/>
        </w:trPr>
        <w:tc>
          <w:tcPr>
            <w:tcW w:w="2132" w:type="dxa"/>
          </w:tcPr>
          <w:p w14:paraId="53CFC783"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Date:</w:t>
            </w:r>
          </w:p>
        </w:tc>
        <w:tc>
          <w:tcPr>
            <w:tcW w:w="7507" w:type="dxa"/>
          </w:tcPr>
          <w:p w14:paraId="6525BEDC"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 xml:space="preserve">October 2020 </w:t>
            </w:r>
          </w:p>
        </w:tc>
      </w:tr>
      <w:tr w:rsidR="00555E21" w:rsidRPr="00453ECF" w14:paraId="1E4C983C" w14:textId="77777777" w:rsidTr="00504C41">
        <w:trPr>
          <w:trHeight w:val="454"/>
        </w:trPr>
        <w:tc>
          <w:tcPr>
            <w:tcW w:w="2132" w:type="dxa"/>
          </w:tcPr>
          <w:p w14:paraId="5446C848"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Version:</w:t>
            </w:r>
          </w:p>
        </w:tc>
        <w:tc>
          <w:tcPr>
            <w:tcW w:w="7507" w:type="dxa"/>
          </w:tcPr>
          <w:p w14:paraId="3A7E6745"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01/2020</w:t>
            </w:r>
          </w:p>
        </w:tc>
      </w:tr>
      <w:tr w:rsidR="00555E21" w:rsidRPr="00453ECF" w14:paraId="06162D33" w14:textId="77777777" w:rsidTr="00504C41">
        <w:trPr>
          <w:trHeight w:val="454"/>
        </w:trPr>
        <w:tc>
          <w:tcPr>
            <w:tcW w:w="2132" w:type="dxa"/>
          </w:tcPr>
          <w:p w14:paraId="7B790B49"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Last Amended By:</w:t>
            </w:r>
          </w:p>
        </w:tc>
        <w:tc>
          <w:tcPr>
            <w:tcW w:w="7507" w:type="dxa"/>
          </w:tcPr>
          <w:p w14:paraId="6DB2F963"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 xml:space="preserve">Julia Koti </w:t>
            </w:r>
          </w:p>
        </w:tc>
      </w:tr>
      <w:tr w:rsidR="00555E21" w:rsidRPr="00453ECF" w14:paraId="1ED0643A" w14:textId="77777777" w:rsidTr="00504C41">
        <w:trPr>
          <w:trHeight w:val="454"/>
        </w:trPr>
        <w:tc>
          <w:tcPr>
            <w:tcW w:w="2132" w:type="dxa"/>
          </w:tcPr>
          <w:p w14:paraId="1BD0B61A"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Next Review:</w:t>
            </w:r>
          </w:p>
        </w:tc>
        <w:tc>
          <w:tcPr>
            <w:tcW w:w="7507" w:type="dxa"/>
          </w:tcPr>
          <w:p w14:paraId="30E6BC3E"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October 2021</w:t>
            </w:r>
          </w:p>
        </w:tc>
      </w:tr>
      <w:tr w:rsidR="00555E21" w:rsidRPr="00453ECF" w14:paraId="2A645492" w14:textId="77777777" w:rsidTr="00504C41">
        <w:trPr>
          <w:trHeight w:val="454"/>
        </w:trPr>
        <w:tc>
          <w:tcPr>
            <w:tcW w:w="2132" w:type="dxa"/>
          </w:tcPr>
          <w:p w14:paraId="3BA1C669"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Position:</w:t>
            </w:r>
          </w:p>
        </w:tc>
        <w:tc>
          <w:tcPr>
            <w:tcW w:w="7507" w:type="dxa"/>
          </w:tcPr>
          <w:p w14:paraId="48456C9B" w14:textId="77777777" w:rsidR="00555E21" w:rsidRPr="00453ECF" w:rsidRDefault="00555E21" w:rsidP="00504C41">
            <w:pPr>
              <w:tabs>
                <w:tab w:val="left" w:pos="2127"/>
              </w:tabs>
              <w:rPr>
                <w:rFonts w:cs="Arial"/>
                <w:color w:val="000000" w:themeColor="text1"/>
                <w:szCs w:val="20"/>
              </w:rPr>
            </w:pPr>
            <w:r w:rsidRPr="00453ECF">
              <w:rPr>
                <w:rFonts w:cs="Arial"/>
                <w:color w:val="000000" w:themeColor="text1"/>
                <w:szCs w:val="20"/>
              </w:rPr>
              <w:t>Approved Provider/Director</w:t>
            </w:r>
          </w:p>
        </w:tc>
      </w:tr>
    </w:tbl>
    <w:p w14:paraId="5C7177C8" w14:textId="77777777" w:rsidR="0079716C" w:rsidRDefault="0079716C"/>
    <w:sectPr w:rsidR="00797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F3835"/>
    <w:multiLevelType w:val="hybridMultilevel"/>
    <w:tmpl w:val="030AE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35F8E"/>
    <w:multiLevelType w:val="hybridMultilevel"/>
    <w:tmpl w:val="07E08C7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2EFC4903"/>
    <w:multiLevelType w:val="hybridMultilevel"/>
    <w:tmpl w:val="5BE84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392B04"/>
    <w:multiLevelType w:val="hybridMultilevel"/>
    <w:tmpl w:val="DB96BB12"/>
    <w:lvl w:ilvl="0" w:tplc="4228750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2818EA"/>
    <w:multiLevelType w:val="hybridMultilevel"/>
    <w:tmpl w:val="153AA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887BBB"/>
    <w:multiLevelType w:val="hybridMultilevel"/>
    <w:tmpl w:val="0A8AC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21"/>
    <w:rsid w:val="00555E21"/>
    <w:rsid w:val="00797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BB45"/>
  <w15:chartTrackingRefBased/>
  <w15:docId w15:val="{458EFCEC-315F-43D4-97E3-0A6D70F7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E21"/>
    <w:pPr>
      <w:spacing w:after="0" w:line="240" w:lineRule="auto"/>
    </w:pPr>
  </w:style>
  <w:style w:type="paragraph" w:styleId="Heading4">
    <w:name w:val="heading 4"/>
    <w:basedOn w:val="Normal"/>
    <w:next w:val="Normal"/>
    <w:link w:val="Heading4Char"/>
    <w:unhideWhenUsed/>
    <w:qFormat/>
    <w:rsid w:val="00555E21"/>
    <w:pPr>
      <w:keepNext/>
      <w:keepLines/>
      <w:tabs>
        <w:tab w:val="left" w:pos="567"/>
        <w:tab w:val="left" w:pos="1701"/>
      </w:tabs>
      <w:spacing w:before="480" w:after="200"/>
      <w:ind w:left="930" w:hanging="930"/>
      <w:outlineLvl w:val="3"/>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55E21"/>
    <w:rPr>
      <w:rFonts w:ascii="Arial" w:hAnsi="Arial"/>
      <w:b/>
      <w:sz w:val="24"/>
      <w:szCs w:val="20"/>
    </w:rPr>
  </w:style>
  <w:style w:type="table" w:styleId="TableGrid">
    <w:name w:val="Table Grid"/>
    <w:basedOn w:val="TableNormal"/>
    <w:uiPriority w:val="59"/>
    <w:rsid w:val="0055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E21"/>
    <w:pPr>
      <w:ind w:left="720"/>
      <w:contextualSpacing/>
    </w:pPr>
  </w:style>
  <w:style w:type="paragraph" w:customStyle="1" w:styleId="ReturnAddress">
    <w:name w:val="Return Address"/>
    <w:basedOn w:val="Normal"/>
    <w:rsid w:val="00555E21"/>
    <w:pPr>
      <w:keepLines/>
      <w:framePr w:w="4320" w:h="965" w:hSpace="187" w:vSpace="187" w:wrap="notBeside" w:vAnchor="page" w:hAnchor="margin" w:xAlign="right" w:y="966" w:anchorLock="1"/>
      <w:tabs>
        <w:tab w:val="left" w:pos="2160"/>
      </w:tabs>
      <w:spacing w:line="160" w:lineRule="atLeast"/>
    </w:pPr>
    <w:rPr>
      <w:rFonts w:ascii="Times New Roman" w:eastAsia="Times New Roman" w:hAnsi="Times New Roman" w:cs="Times New Roman"/>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1</cp:revision>
  <dcterms:created xsi:type="dcterms:W3CDTF">2020-10-01T01:51:00Z</dcterms:created>
  <dcterms:modified xsi:type="dcterms:W3CDTF">2020-10-01T01:55:00Z</dcterms:modified>
</cp:coreProperties>
</file>